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Standard"/>
        <w:spacing w:before="120"/>
        <w:jc w:val="center"/>
        <w:rPr>
          <w:rFonts w:cs="Times New Roman"/>
          <w:b/>
          <w:sz w:val="32"/>
          <w:szCs w:val="32"/>
          <w:lang w:val="cs-CZ"/>
        </w:rPr>
      </w:pPr>
      <w:r>
        <w:rPr>
          <w:rFonts w:cs="Times New Roman"/>
          <w:b/>
          <w:sz w:val="32"/>
          <w:szCs w:val="32"/>
          <w:lang w:val="cs-CZ"/>
        </w:rPr>
        <w:t>Zakladatelská listina</w:t>
      </w:r>
    </w:p>
    <w:p>
      <w:pPr>
        <w:pStyle w:val="Standard"/>
        <w:spacing w:before="120"/>
        <w:jc w:val="center"/>
        <w:rPr>
          <w:rFonts w:ascii="Garamond" w:hAnsi="Garamond" w:cs="Arial"/>
          <w:b/>
          <w:lang w:val="cs-CZ"/>
        </w:rPr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I. Obchodní firma</w:t>
      </w:r>
    </w:p>
    <w:p>
      <w:pPr>
        <w:spacing w:line="360" w:lineRule="auto"/>
        <w:jc w:val="both"/>
        <w:rPr>
          <w:b/>
          <w:bCs/>
        </w:rPr>
      </w:pPr>
      <w:r>
        <w:t xml:space="preserve">Obchodní firma společnosti zní: </w:t>
      </w:r>
      <w:bookmarkStart w:id="0" w:name="_Hlk124778290"/>
      <w:r>
        <w:rPr>
          <w:b/>
          <w:bCs/>
          <w:i/>
          <w:iCs/>
        </w:rPr>
        <w:t>Obchodní firma s.r.o.</w:t>
      </w:r>
      <w:bookmarkEnd w:id="0"/>
    </w:p>
    <w:p>
      <w:pPr>
        <w:spacing w:line="360" w:lineRule="auto"/>
        <w:jc w:val="both"/>
        <w:rPr>
          <w:b/>
          <w:bCs/>
        </w:rPr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II.</w:t>
      </w:r>
      <w:r>
        <w:t xml:space="preserve"> </w:t>
      </w:r>
      <w:r>
        <w:rPr>
          <w:b/>
          <w:bCs/>
        </w:rPr>
        <w:t>Společník</w:t>
      </w:r>
    </w:p>
    <w:p>
      <w:pPr>
        <w:spacing w:line="360" w:lineRule="auto"/>
        <w:jc w:val="both"/>
      </w:pPr>
      <w:r>
        <w:t>Společníkem společnosti je:</w:t>
      </w:r>
    </w:p>
    <w:p>
      <w:pPr>
        <w:spacing w:line="360" w:lineRule="auto"/>
        <w:rPr>
          <w:i/>
          <w:iCs/>
        </w:rPr>
      </w:pPr>
      <w:r>
        <w:rPr>
          <w:b/>
          <w:bCs/>
          <w:i/>
          <w:iCs/>
        </w:rPr>
        <w:t>Jméno Příjmení</w:t>
      </w:r>
      <w:r>
        <w:rPr>
          <w:i/>
          <w:iCs/>
        </w:rPr>
        <w:t xml:space="preserve">, </w:t>
      </w:r>
      <w:r>
        <w:t>narozený</w:t>
      </w:r>
      <w:r>
        <w:rPr>
          <w:i/>
          <w:iCs/>
        </w:rPr>
        <w:t xml:space="preserve"> 01.01.2000, </w:t>
      </w:r>
      <w:r>
        <w:t>bydliště</w:t>
      </w:r>
      <w:r>
        <w:rPr>
          <w:i/>
          <w:iCs/>
        </w:rPr>
        <w:t xml:space="preserve"> Ulice 123, Město.</w:t>
      </w:r>
    </w:p>
    <w:p>
      <w:pPr>
        <w:spacing w:line="360" w:lineRule="auto"/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III.</w:t>
      </w:r>
      <w:r>
        <w:t xml:space="preserve"> </w:t>
      </w:r>
      <w:r>
        <w:rPr>
          <w:b/>
          <w:bCs/>
        </w:rPr>
        <w:t>Sídlo</w:t>
      </w:r>
    </w:p>
    <w:p>
      <w:pPr>
        <w:spacing w:line="360" w:lineRule="auto"/>
        <w:jc w:val="both"/>
        <w:rPr>
          <w:b/>
          <w:bCs/>
        </w:rPr>
      </w:pPr>
      <w:r>
        <w:t xml:space="preserve">Obcí, v níž se nachází sídlo společnosti je </w:t>
      </w:r>
      <w:r>
        <w:rPr>
          <w:b/>
          <w:bCs/>
          <w:i/>
          <w:iCs/>
        </w:rPr>
        <w:t>Praha</w:t>
      </w:r>
      <w:r>
        <w:rPr>
          <w:b/>
          <w:bCs/>
        </w:rPr>
        <w:t>.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IV.</w:t>
      </w:r>
      <w:r>
        <w:t xml:space="preserve"> </w:t>
      </w:r>
      <w:r>
        <w:rPr>
          <w:b/>
          <w:bCs/>
        </w:rPr>
        <w:t>Předmět podnikání</w:t>
      </w:r>
    </w:p>
    <w:p>
      <w:pPr>
        <w:spacing w:line="360" w:lineRule="auto"/>
        <w:jc w:val="both"/>
      </w:pPr>
      <w:r>
        <w:t>Předmětem podnikání společnosti je:</w:t>
      </w: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>Výroba, obchod a služby neuvedené v přílohách 1 až 3 živnostenského zákona, a to v rozsahu jednotlivých oborů činností živnosti volné uvedených pod čísly 1-81 přílohy číslo 4 živnostenského zákona.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V.</w:t>
      </w:r>
      <w:r>
        <w:t xml:space="preserve"> </w:t>
      </w:r>
      <w:r>
        <w:rPr>
          <w:b/>
          <w:bCs/>
        </w:rPr>
        <w:t>Základní kapitál</w:t>
      </w:r>
    </w:p>
    <w:p>
      <w:pPr>
        <w:spacing w:line="360" w:lineRule="auto"/>
        <w:jc w:val="both"/>
      </w:pPr>
      <w:r>
        <w:t xml:space="preserve">Výše základního kapitálu činí </w:t>
      </w:r>
      <w:bookmarkStart w:id="1" w:name="_Hlk123800655"/>
      <w:r>
        <w:rPr>
          <w:i/>
          <w:iCs/>
        </w:rPr>
        <w:t>20 000 Kč</w:t>
      </w:r>
      <w:r>
        <w:t xml:space="preserve"> (slovy: </w:t>
      </w:r>
      <w:bookmarkEnd w:id="1"/>
      <w:r>
        <w:rPr>
          <w:i/>
          <w:iCs/>
        </w:rPr>
        <w:t>dvacet tisíc</w:t>
      </w:r>
      <w:r>
        <w:t xml:space="preserve"> </w:t>
      </w:r>
      <w:r>
        <w:rPr>
          <w:i/>
          <w:iCs/>
        </w:rPr>
        <w:t>korun českých</w:t>
      </w:r>
      <w:r>
        <w:t>).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rPr>
          <w:b/>
          <w:bCs/>
        </w:rPr>
        <w:t>VI. Vklad do základního kapitálu, správce vkladu</w:t>
      </w:r>
    </w:p>
    <w:p>
      <w:pPr>
        <w:spacing w:line="360" w:lineRule="auto"/>
        <w:jc w:val="both"/>
      </w:pPr>
      <w:r>
        <w:t xml:space="preserve">1. Podíly ve společnosti jsou podíly základní, se kterými nejsou spojena žádná zvláštní práva a povinnosti. </w:t>
      </w:r>
      <w:r>
        <w:rPr>
          <w:i/>
          <w:iCs/>
        </w:rPr>
        <w:t xml:space="preserve">Ve společnosti jsou podíly označené 1-10, každý o velikosti o velikosti 10 %, přičemž na každý podíl připadá vklad do základního kapitálu ve výši 2 000 Kč </w:t>
      </w:r>
      <w:r>
        <w:rPr>
          <w:i/>
          <w:iCs/>
        </w:rPr>
        <w:t xml:space="preserve">(slovy: </w:t>
      </w:r>
      <w:r>
        <w:rPr>
          <w:i/>
          <w:iCs/>
        </w:rPr>
        <w:t>dva</w:t>
      </w:r>
      <w:r>
        <w:rPr>
          <w:i/>
          <w:iCs/>
        </w:rPr>
        <w:t xml:space="preserve"> tisíc</w:t>
      </w:r>
      <w:r>
        <w:rPr>
          <w:i/>
          <w:iCs/>
        </w:rPr>
        <w:t>e</w:t>
      </w:r>
      <w:r>
        <w:rPr>
          <w:i/>
          <w:iCs/>
        </w:rPr>
        <w:t xml:space="preserve"> korun českých).</w:t>
      </w:r>
    </w:p>
    <w:p>
      <w:pPr>
        <w:spacing w:line="360" w:lineRule="auto"/>
        <w:jc w:val="both"/>
      </w:pPr>
      <w:r>
        <w:t>2. Společník může vlastnit více podílů.</w:t>
      </w:r>
    </w:p>
    <w:p>
      <w:pPr>
        <w:spacing w:line="360" w:lineRule="auto"/>
        <w:jc w:val="both"/>
      </w:pPr>
      <w:r>
        <w:t>3. Podíl společníka může být představován kmenovým listem.</w:t>
      </w:r>
    </w:p>
    <w:p>
      <w:pPr>
        <w:spacing w:line="360" w:lineRule="auto"/>
        <w:jc w:val="both"/>
      </w:pPr>
      <w:r>
        <w:t>4. Každý společník může svůj podíl nebo jeho část převést na jiného společníka i na třetí osobu bez omezení. Převoditelnost podílu není ani žádným jiným způsobem omezena či podmíněna.</w:t>
      </w:r>
    </w:p>
    <w:p>
      <w:pPr>
        <w:spacing w:line="360" w:lineRule="auto"/>
        <w:jc w:val="both"/>
      </w:pPr>
      <w:r>
        <w:t xml:space="preserve">5. Výše vkladu společníka </w:t>
      </w:r>
      <w:r>
        <w:rPr>
          <w:i/>
          <w:iCs/>
        </w:rPr>
        <w:t>Jméno Příjmení</w:t>
      </w:r>
      <w:r>
        <w:t xml:space="preserve">, připadající na jeho podíly </w:t>
      </w:r>
      <w:r>
        <w:rPr>
          <w:i/>
          <w:iCs/>
        </w:rPr>
        <w:t>č. 1-10</w:t>
      </w:r>
      <w:r>
        <w:t xml:space="preserve">, každý o velikosti </w:t>
      </w:r>
      <w:r>
        <w:rPr>
          <w:i/>
          <w:iCs/>
        </w:rPr>
        <w:t>10 %</w:t>
      </w:r>
      <w:r>
        <w:t xml:space="preserve"> je </w:t>
      </w:r>
      <w:r>
        <w:rPr>
          <w:i/>
          <w:iCs/>
        </w:rPr>
        <w:t>2 000 Kč (slovy: dva tisíce korun českých)</w:t>
      </w:r>
      <w:r>
        <w:rPr>
          <w:i/>
          <w:iCs/>
        </w:rPr>
        <w:t xml:space="preserve"> </w:t>
      </w:r>
      <w:r>
        <w:t xml:space="preserve">na jeden podíl. Společník se zavazuje vložit do společnosti celkem částku </w:t>
      </w:r>
      <w:r>
        <w:rPr>
          <w:i/>
          <w:iCs/>
        </w:rPr>
        <w:t>20 000 Kč</w:t>
      </w:r>
      <w:r>
        <w:t xml:space="preserve"> (slovy: </w:t>
      </w:r>
      <w:r>
        <w:rPr>
          <w:i/>
          <w:iCs/>
        </w:rPr>
        <w:t>dvacet tisíc korun českých</w:t>
      </w:r>
      <w:r>
        <w:t xml:space="preserve">) a splnit tuto vkladovou povinnost splacením do </w:t>
      </w:r>
      <w:r>
        <w:rPr>
          <w:i/>
          <w:iCs/>
        </w:rPr>
        <w:t>30</w:t>
      </w:r>
      <w:r>
        <w:t xml:space="preserve"> (slovem: </w:t>
      </w:r>
      <w:r>
        <w:rPr>
          <w:i/>
          <w:iCs/>
        </w:rPr>
        <w:t>třiceti</w:t>
      </w:r>
      <w:r>
        <w:t>) dnů od založení společnosti.</w:t>
      </w:r>
    </w:p>
    <w:p>
      <w:pPr>
        <w:spacing w:line="360" w:lineRule="auto"/>
        <w:jc w:val="both"/>
      </w:pPr>
      <w:r>
        <w:t xml:space="preserve">6. Správcem vkladu zakladatel určuje </w:t>
      </w:r>
      <w:r>
        <w:rPr>
          <w:i/>
          <w:iCs/>
        </w:rPr>
        <w:t>Jméno Příjmení</w:t>
      </w:r>
      <w:r>
        <w:t xml:space="preserve">, narozeného </w:t>
      </w:r>
      <w:r>
        <w:rPr>
          <w:i/>
          <w:iCs/>
        </w:rPr>
        <w:t>01.01.2000</w:t>
      </w:r>
      <w:r>
        <w:t xml:space="preserve">, bydliště </w:t>
      </w:r>
      <w:r>
        <w:rPr>
          <w:i/>
          <w:iCs/>
        </w:rPr>
        <w:t>Ulice 123, Město</w:t>
      </w:r>
      <w:r>
        <w:t>.</w:t>
      </w:r>
    </w:p>
    <w:p>
      <w:pPr>
        <w:spacing w:line="360" w:lineRule="auto"/>
        <w:jc w:val="both"/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VII. Jednatelé a způsob jednání za společnost</w:t>
      </w:r>
    </w:p>
    <w:p>
      <w:pPr>
        <w:spacing w:line="360" w:lineRule="auto"/>
        <w:jc w:val="both"/>
      </w:pPr>
      <w:r>
        <w:t xml:space="preserve">1. Společnost má jednoho jednatele. </w:t>
      </w:r>
    </w:p>
    <w:p>
      <w:pPr>
        <w:spacing w:line="360" w:lineRule="auto"/>
        <w:jc w:val="both"/>
      </w:pPr>
      <w:r>
        <w:t xml:space="preserve">2. Jednatel jedná za společnost samostatně. </w:t>
      </w:r>
    </w:p>
    <w:p>
      <w:pPr>
        <w:spacing w:line="360" w:lineRule="auto"/>
        <w:jc w:val="both"/>
        <w:rPr>
          <w:i/>
          <w:iCs/>
        </w:rPr>
      </w:pPr>
      <w:r>
        <w:t xml:space="preserve">3. Prvním jednatelem se určuje: </w:t>
      </w:r>
      <w:bookmarkStart w:id="2" w:name="_Hlk84961419"/>
      <w:bookmarkEnd w:id="2"/>
      <w:r>
        <w:rPr>
          <w:i/>
          <w:iCs/>
        </w:rPr>
        <w:t xml:space="preserve">Jméno Příjmení, </w:t>
      </w:r>
      <w:r>
        <w:t>narozený</w:t>
      </w:r>
      <w:r>
        <w:rPr>
          <w:i/>
          <w:iCs/>
        </w:rPr>
        <w:t xml:space="preserve"> 01.01.2000, </w:t>
      </w:r>
      <w:r>
        <w:t>bytem</w:t>
      </w:r>
      <w:r>
        <w:rPr>
          <w:i/>
          <w:iCs/>
        </w:rPr>
        <w:t xml:space="preserve"> Ulice 123, Město.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sectPr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9C7"/>
    <w:multiLevelType w:val="hybridMultilevel"/>
    <w:tmpl w:val="46E2A782"/>
    <w:lvl w:ilvl="0" w:tplc="6720C78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42594"/>
    <w:multiLevelType w:val="multilevel"/>
    <w:tmpl w:val="02FE31C2"/>
    <w:lvl w:ilvl="0">
      <w:start w:val="1"/>
      <w:numFmt w:val="lowerLetter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1079"/>
    <w:multiLevelType w:val="hybridMultilevel"/>
    <w:tmpl w:val="100AB46A"/>
    <w:lvl w:ilvl="0" w:tplc="01544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37BBD"/>
    <w:multiLevelType w:val="hybridMultilevel"/>
    <w:tmpl w:val="A5C613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96353"/>
    <w:multiLevelType w:val="hybridMultilevel"/>
    <w:tmpl w:val="50A4F38A"/>
    <w:lvl w:ilvl="0" w:tplc="63C6234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BC6BBC"/>
    <w:multiLevelType w:val="hybridMultilevel"/>
    <w:tmpl w:val="4F9C8C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10D7E"/>
    <w:multiLevelType w:val="multilevel"/>
    <w:tmpl w:val="513E4E0C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A447E"/>
    <w:multiLevelType w:val="multilevel"/>
    <w:tmpl w:val="AF24AF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04314"/>
    <w:multiLevelType w:val="multilevel"/>
    <w:tmpl w:val="8E861ED2"/>
    <w:lvl w:ilvl="0">
      <w:start w:val="1"/>
      <w:numFmt w:val="lowerLetter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D4B39"/>
    <w:multiLevelType w:val="hybridMultilevel"/>
    <w:tmpl w:val="E4541E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867304"/>
    <w:multiLevelType w:val="multilevel"/>
    <w:tmpl w:val="5F28F1D2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72578541">
    <w:abstractNumId w:val="4"/>
  </w:num>
  <w:num w:numId="2" w16cid:durableId="51464333">
    <w:abstractNumId w:val="3"/>
  </w:num>
  <w:num w:numId="3" w16cid:durableId="162207706">
    <w:abstractNumId w:val="5"/>
  </w:num>
  <w:num w:numId="4" w16cid:durableId="1253321187">
    <w:abstractNumId w:val="8"/>
  </w:num>
  <w:num w:numId="5" w16cid:durableId="750128850">
    <w:abstractNumId w:val="7"/>
  </w:num>
  <w:num w:numId="6" w16cid:durableId="1197084215">
    <w:abstractNumId w:val="6"/>
  </w:num>
  <w:num w:numId="7" w16cid:durableId="149173005">
    <w:abstractNumId w:val="1"/>
  </w:num>
  <w:num w:numId="8" w16cid:durableId="363555985">
    <w:abstractNumId w:val="10"/>
  </w:num>
  <w:num w:numId="9" w16cid:durableId="108814491">
    <w:abstractNumId w:val="10"/>
    <w:lvlOverride w:ilvl="0">
      <w:startOverride w:val="1"/>
    </w:lvlOverride>
  </w:num>
  <w:num w:numId="10" w16cid:durableId="2135520368">
    <w:abstractNumId w:val="9"/>
  </w:num>
  <w:num w:numId="11" w16cid:durableId="728654181">
    <w:abstractNumId w:val="0"/>
  </w:num>
  <w:num w:numId="12" w16cid:durableId="582952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before="120"/>
      <w:jc w:val="center"/>
      <w:outlineLvl w:val="7"/>
    </w:pPr>
    <w:rPr>
      <w:b/>
      <w:bCs/>
      <w:i/>
      <w:iCs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pPr>
      <w:spacing w:before="120"/>
      <w:jc w:val="both"/>
    </w:pPr>
    <w:rPr>
      <w:snapToGrid w:val="0"/>
      <w:sz w:val="24"/>
      <w:lang w:val="x-none" w:eastAsia="x-none"/>
    </w:rPr>
  </w:style>
  <w:style w:type="paragraph" w:styleId="Prosttext">
    <w:name w:val="Plain Text"/>
    <w:basedOn w:val="Normln"/>
    <w:link w:val="ProsttextChar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Pr>
      <w:rFonts w:ascii="Courier New" w:hAnsi="Courier New"/>
      <w:lang w:val="x-none" w:eastAsia="x-none" w:bidi="ar-SA"/>
    </w:rPr>
  </w:style>
  <w:style w:type="character" w:customStyle="1" w:styleId="ZkladntextChar">
    <w:name w:val="Základní text Char"/>
    <w:aliases w:val="b Char"/>
    <w:link w:val="Zkladntext"/>
    <w:rPr>
      <w:snapToGrid w:val="0"/>
      <w:sz w:val="24"/>
      <w:lang w:val="x-none" w:eastAsia="x-none" w:bidi="ar-SA"/>
    </w:rPr>
  </w:style>
  <w:style w:type="paragraph" w:customStyle="1" w:styleId="Podnadpis1">
    <w:name w:val="Podnadpis1"/>
    <w:pPr>
      <w:widowControl w:val="0"/>
      <w:spacing w:before="73" w:after="73" w:line="209" w:lineRule="atLeast"/>
      <w:jc w:val="center"/>
    </w:pPr>
    <w:rPr>
      <w:b/>
      <w:snapToGrid w:val="0"/>
      <w:color w:val="000000"/>
      <w:sz w:val="28"/>
    </w:rPr>
  </w:style>
  <w:style w:type="paragraph" w:styleId="Bezmezer">
    <w:name w:val="No Spacing"/>
    <w:basedOn w:val="Normln"/>
    <w:qFormat/>
    <w:rPr>
      <w:rFonts w:ascii="Calibri" w:hAnsi="Calibri"/>
      <w:sz w:val="22"/>
      <w:szCs w:val="22"/>
    </w:rPr>
  </w:style>
  <w:style w:type="paragraph" w:customStyle="1" w:styleId="Textbody">
    <w:name w:val="Text body"/>
    <w:basedOn w:val="Normln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Nadpis1Char">
    <w:name w:val="Nadpis 1 Char"/>
    <w:link w:val="Nadpis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</w:style>
  <w:style w:type="numbering" w:customStyle="1" w:styleId="WW8Num1">
    <w:name w:val="WW8Num1"/>
    <w:basedOn w:val="Bezseznamu"/>
    <w:pPr>
      <w:numPr>
        <w:numId w:val="8"/>
      </w:numPr>
    </w:pPr>
  </w:style>
  <w:style w:type="character" w:customStyle="1" w:styleId="Nadpis6Char">
    <w:name w:val="Nadpis 6 Char"/>
    <w:link w:val="Nadpis6"/>
    <w:rPr>
      <w:rFonts w:ascii="Calibri" w:eastAsia="Times New Roman" w:hAnsi="Calibri" w:cs="Times New Roman"/>
      <w:b/>
      <w:bCs/>
      <w:sz w:val="22"/>
      <w:szCs w:val="22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Pr>
      <w:sz w:val="16"/>
      <w:szCs w:val="16"/>
    </w:rPr>
  </w:style>
  <w:style w:type="paragraph" w:customStyle="1" w:styleId="Textbodyindent">
    <w:name w:val="Text body indent"/>
    <w:basedOn w:val="Standard"/>
    <w:pPr>
      <w:ind w:left="708" w:hanging="708"/>
      <w:jc w:val="both"/>
    </w:pPr>
    <w:rPr>
      <w:rFonts w:ascii="Bookman Old Style" w:hAnsi="Bookman Old Style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</w:style>
  <w:style w:type="character" w:customStyle="1" w:styleId="Nadpis8Char">
    <w:name w:val="Nadpis 8 Char"/>
    <w:basedOn w:val="Standardnpsmoodstavce"/>
    <w:link w:val="Nadpis8"/>
    <w:rPr>
      <w:b/>
      <w:bCs/>
      <w:i/>
      <w:iCs/>
      <w:snapToGrid w:val="0"/>
      <w:sz w:val="28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</w:style>
  <w:style w:type="character" w:customStyle="1" w:styleId="TextkomenteChar">
    <w:name w:val="Text komentáře Char"/>
    <w:basedOn w:val="Standardnpsmoodstavce"/>
    <w:link w:val="Textkomente"/>
    <w:semiHidden/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b/>
      <w:bCs/>
    </w:rPr>
  </w:style>
  <w:style w:type="paragraph" w:styleId="Revize">
    <w:name w:val="Revision"/>
    <w:hidden/>
    <w:uiPriority w:val="99"/>
    <w:semiHidden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B77-525A-4C08-B1F5-D90BBCE5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2023-01-23T17:49:00Z</dcterms:created>
  <dcterms:modified xsi:type="dcterms:W3CDTF">2023-01-23T17:49:00Z</dcterms:modified>
</cp:coreProperties>
</file>